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line="276" w:lineRule="auto"/>
        <w:jc w:val="both"/>
        <w:rPr>
          <w:rFonts w:ascii="Segoe UI" w:hAnsi="Segoe UI" w:cs="Segoe UI"/>
          <w:b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3476625" cy="1685925"/>
            <wp:effectExtent l="0" t="0" r="0" b="0"/>
            <wp:docPr id="1" name="Рисунок 1" descr="ло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лог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jc w:val="right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>ПРЕСС-РЕЛИЗ</w:t>
      </w:r>
    </w:p>
    <w:p>
      <w:pPr>
        <w:spacing w:line="276" w:lineRule="auto"/>
        <w:jc w:val="right"/>
        <w:rPr>
          <w:rFonts w:ascii="Segoe UI" w:hAnsi="Segoe UI" w:cs="Segoe UI"/>
          <w:b/>
          <w:sz w:val="24"/>
          <w:szCs w:val="24"/>
        </w:rPr>
      </w:pPr>
      <w:r>
        <w:rPr>
          <w:rFonts w:ascii="Segoe UI" w:hAnsi="Segoe UI" w:cs="Segoe UI"/>
          <w:b/>
          <w:sz w:val="24"/>
          <w:szCs w:val="24"/>
        </w:rPr>
        <w:t>08</w:t>
      </w:r>
      <w:bookmarkStart w:id="0" w:name="_GoBack"/>
      <w:bookmarkEnd w:id="0"/>
      <w:r>
        <w:rPr>
          <w:rFonts w:ascii="Segoe UI" w:hAnsi="Segoe UI" w:cs="Segoe UI"/>
          <w:b/>
          <w:sz w:val="24"/>
          <w:szCs w:val="24"/>
        </w:rPr>
        <w:t xml:space="preserve"> октября 2019</w:t>
      </w:r>
    </w:p>
    <w:p>
      <w:pPr>
        <w:spacing w:after="0" w:line="276" w:lineRule="auto"/>
        <w:ind w:firstLine="709"/>
        <w:jc w:val="center"/>
        <w:rPr>
          <w:rFonts w:ascii="Segoe UI" w:eastAsia="Times New Roman" w:hAnsi="Segoe UI" w:cs="Segoe UI"/>
          <w:b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b/>
          <w:sz w:val="24"/>
          <w:szCs w:val="24"/>
          <w:lang w:eastAsia="ru-RU"/>
        </w:rPr>
        <w:t xml:space="preserve">Подать документы на регистрацию прав в электронном виде </w:t>
      </w:r>
    </w:p>
    <w:p>
      <w:pPr>
        <w:spacing w:after="0" w:line="276" w:lineRule="auto"/>
        <w:ind w:firstLine="709"/>
        <w:jc w:val="center"/>
        <w:rPr>
          <w:rFonts w:ascii="Segoe UI" w:eastAsia="Times New Roman" w:hAnsi="Segoe UI" w:cs="Segoe UI"/>
          <w:b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b/>
          <w:sz w:val="24"/>
          <w:szCs w:val="24"/>
          <w:lang w:eastAsia="ru-RU"/>
        </w:rPr>
        <w:t>может и нотариус</w:t>
      </w:r>
    </w:p>
    <w:p>
      <w:pPr>
        <w:spacing w:after="0" w:line="276" w:lineRule="auto"/>
        <w:ind w:firstLine="709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sz w:val="24"/>
          <w:szCs w:val="24"/>
          <w:lang w:eastAsia="ru-RU"/>
        </w:rPr>
        <w:t>В связи с многочисленными вопросами жителей региона Управление Росреестра по Самарской области напоминает права граждан, обратившихся к нотариусу по вопросам недвижимого имущества.</w:t>
      </w:r>
    </w:p>
    <w:p>
      <w:pPr>
        <w:spacing w:after="0" w:line="276" w:lineRule="auto"/>
        <w:ind w:firstLine="709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С февраля этого года, когда были внесены изменения в Основы законодательства Российской Федерации о нотариате, нотариус, совершивший нотариальные действия в отношении объектов недвижимости, обязан направлять в Росреестр заявление и документы, необходимые для государственной регистрации прав. Раньше эта услуга - в том числе и в электронном виде - оказывалась нотариусом только по желанию заявителя.  </w:t>
      </w:r>
    </w:p>
    <w:p>
      <w:pPr>
        <w:spacing w:after="0" w:line="276" w:lineRule="auto"/>
        <w:ind w:firstLine="709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          Указанная обязанность возникает у нотариусов в случае:</w:t>
      </w:r>
    </w:p>
    <w:p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sz w:val="24"/>
          <w:szCs w:val="24"/>
          <w:lang w:eastAsia="ru-RU"/>
        </w:rPr>
        <w:t>удостоверения сделок, направленных на отчуждение имущества;</w:t>
      </w:r>
    </w:p>
    <w:p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sz w:val="24"/>
          <w:szCs w:val="24"/>
          <w:lang w:eastAsia="ru-RU"/>
        </w:rPr>
        <w:t>выдачи свидетельства о праве на наследство по закону;</w:t>
      </w:r>
    </w:p>
    <w:p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sz w:val="24"/>
          <w:szCs w:val="24"/>
          <w:lang w:eastAsia="ru-RU"/>
        </w:rPr>
        <w:t>выдачи свидетельства о праве на наследство по завещанию;</w:t>
      </w:r>
    </w:p>
    <w:p>
      <w:pPr>
        <w:keepNext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sz w:val="24"/>
          <w:szCs w:val="24"/>
          <w:lang w:eastAsia="ru-RU"/>
        </w:rPr>
        <w:t>выдачи свидетельства о праве собственности на долю в общем имуществе по заявлению пережившего супруга.</w:t>
      </w:r>
    </w:p>
    <w:p>
      <w:pPr>
        <w:autoSpaceDE w:val="0"/>
        <w:autoSpaceDN w:val="0"/>
        <w:spacing w:after="0" w:line="276" w:lineRule="auto"/>
        <w:ind w:firstLine="708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sz w:val="24"/>
          <w:szCs w:val="24"/>
          <w:lang w:eastAsia="ru-RU"/>
        </w:rPr>
        <w:t>Нотариусы обязаны в день оформления документов незамедлительно, но не позднее окончания рабочего дня, представить в электронной форме заявление о государственной регистрации прав и прилагаемые к нему документы.</w:t>
      </w:r>
    </w:p>
    <w:p>
      <w:pPr>
        <w:autoSpaceDE w:val="0"/>
        <w:autoSpaceDN w:val="0"/>
        <w:spacing w:after="0" w:line="276" w:lineRule="auto"/>
        <w:ind w:firstLine="708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Для заявителей в данном случае возникают дополнительные плюсы, подчеркивает начальник отдела регистрации объектов недвижимости крупных правообладателей Управления Росреестра по Самарской области </w:t>
      </w:r>
      <w:r>
        <w:rPr>
          <w:rFonts w:ascii="Segoe UI" w:eastAsia="Times New Roman" w:hAnsi="Segoe UI" w:cs="Segoe UI"/>
          <w:b/>
          <w:sz w:val="24"/>
          <w:szCs w:val="24"/>
          <w:lang w:eastAsia="ru-RU"/>
        </w:rPr>
        <w:t>Эндже Нуруллина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>:</w:t>
      </w:r>
    </w:p>
    <w:p>
      <w:pPr>
        <w:pStyle w:val="a4"/>
        <w:numPr>
          <w:ilvl w:val="0"/>
          <w:numId w:val="1"/>
        </w:numPr>
        <w:autoSpaceDE w:val="0"/>
        <w:autoSpaceDN w:val="0"/>
        <w:spacing w:after="0" w:line="276" w:lineRule="auto"/>
        <w:ind w:firstLine="709"/>
        <w:jc w:val="both"/>
        <w:rPr>
          <w:rFonts w:ascii="Segoe UI" w:eastAsia="Times New Roman" w:hAnsi="Segoe UI" w:cs="Segoe UI"/>
          <w:noProof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электронное взаимодействие Росреестра и нотариусов позволяет собственникам объектов недвижимости осуществить 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lastRenderedPageBreak/>
        <w:t>государственную регистрацию прав, не посещая офисы Многофункционального центра, как следствие - это экономия времени;</w:t>
      </w:r>
    </w:p>
    <w:p>
      <w:pPr>
        <w:pStyle w:val="a4"/>
        <w:numPr>
          <w:ilvl w:val="0"/>
          <w:numId w:val="1"/>
        </w:numPr>
        <w:autoSpaceDE w:val="0"/>
        <w:autoSpaceDN w:val="0"/>
        <w:spacing w:after="0" w:line="276" w:lineRule="auto"/>
        <w:ind w:firstLine="709"/>
        <w:jc w:val="both"/>
        <w:rPr>
          <w:rFonts w:ascii="Segoe UI" w:eastAsia="Times New Roman" w:hAnsi="Segoe UI" w:cs="Segoe UI"/>
          <w:noProof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срок оказания </w:t>
      </w:r>
      <w:proofErr w:type="spellStart"/>
      <w:r>
        <w:rPr>
          <w:rFonts w:ascii="Segoe UI" w:eastAsia="Times New Roman" w:hAnsi="Segoe UI" w:cs="Segoe UI"/>
          <w:sz w:val="24"/>
          <w:szCs w:val="24"/>
          <w:lang w:eastAsia="ru-RU"/>
        </w:rPr>
        <w:t>госуслуги</w:t>
      </w:r>
      <w:proofErr w:type="spellEnd"/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 при подаче документов в электронном виде составляет </w:t>
      </w:r>
      <w:r>
        <w:rPr>
          <w:rFonts w:ascii="Segoe UI" w:eastAsia="Times New Roman" w:hAnsi="Segoe UI" w:cs="Segoe UI"/>
          <w:b/>
          <w:sz w:val="24"/>
          <w:szCs w:val="24"/>
          <w:lang w:eastAsia="ru-RU"/>
        </w:rPr>
        <w:t>один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 рабочий день, следующий за днем поступления соответствующих документов; </w:t>
      </w:r>
    </w:p>
    <w:p>
      <w:pPr>
        <w:pStyle w:val="a4"/>
        <w:numPr>
          <w:ilvl w:val="0"/>
          <w:numId w:val="1"/>
        </w:numPr>
        <w:spacing w:after="0" w:line="276" w:lineRule="auto"/>
        <w:ind w:firstLine="709"/>
        <w:jc w:val="both"/>
        <w:rPr>
          <w:rFonts w:ascii="Segoe UI" w:eastAsia="Times New Roman" w:hAnsi="Segoe UI" w:cs="Segoe UI"/>
          <w:noProof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при подаче документов в электронном виде действует льгота при оплате государственной пошлины: вместо </w:t>
      </w:r>
      <w:r>
        <w:rPr>
          <w:rFonts w:ascii="Segoe UI" w:eastAsia="Times New Roman" w:hAnsi="Segoe UI" w:cs="Segoe UI"/>
          <w:b/>
          <w:sz w:val="24"/>
          <w:szCs w:val="24"/>
          <w:lang w:eastAsia="ru-RU"/>
        </w:rPr>
        <w:t>2000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 рублей заявитель оплачивает </w:t>
      </w:r>
      <w:r>
        <w:rPr>
          <w:rFonts w:ascii="Segoe UI" w:eastAsia="Times New Roman" w:hAnsi="Segoe UI" w:cs="Segoe UI"/>
          <w:b/>
          <w:bCs/>
          <w:sz w:val="24"/>
          <w:szCs w:val="24"/>
          <w:lang w:eastAsia="ru-RU"/>
        </w:rPr>
        <w:t>1400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 рублей (в соответствии со ст. 333.35 Налогового кодекса).</w:t>
      </w:r>
    </w:p>
    <w:p>
      <w:pPr>
        <w:spacing w:after="0" w:line="276" w:lineRule="auto"/>
        <w:ind w:firstLine="708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eastAsia="Times New Roman" w:hAnsi="Segoe UI" w:cs="Segoe UI"/>
          <w:noProof/>
          <w:sz w:val="24"/>
          <w:szCs w:val="24"/>
          <w:lang w:eastAsia="ru-RU"/>
        </w:rPr>
        <w:t xml:space="preserve">При этом необходимо знать, что приказом Минюста России от 28.12.2018 №303 утверждены перечни независящих от нотариуса причин, при наличии которых предоставление заявления о государственной регистрации прав и прилагаемых к нему документов в орган регистрации прав в электронной форме является невозможным. В числе причин – технические сбои или плановые профилактические работы в информационных системах Росреестра или нотариата, а также </w:t>
      </w:r>
      <w:r>
        <w:rPr>
          <w:rFonts w:ascii="Segoe UI" w:hAnsi="Segoe UI" w:cs="Segoe UI"/>
          <w:sz w:val="24"/>
          <w:szCs w:val="24"/>
        </w:rPr>
        <w:t xml:space="preserve">объективные причины в деятельности нотариуса: совершение нотариального действия вне места работы, отсутствие электроснабжения или доступа к Интернет. Отсутствие возможности обратиться в </w:t>
      </w:r>
      <w:proofErr w:type="spellStart"/>
      <w:r>
        <w:rPr>
          <w:rFonts w:ascii="Segoe UI" w:hAnsi="Segoe UI" w:cs="Segoe UI"/>
          <w:sz w:val="24"/>
          <w:szCs w:val="24"/>
        </w:rPr>
        <w:t>Рорсеестр</w:t>
      </w:r>
      <w:proofErr w:type="spellEnd"/>
      <w:r>
        <w:rPr>
          <w:rFonts w:ascii="Segoe UI" w:hAnsi="Segoe UI" w:cs="Segoe UI"/>
          <w:sz w:val="24"/>
          <w:szCs w:val="24"/>
        </w:rPr>
        <w:t xml:space="preserve"> посредством электронных сервисов должно быть соответствующим образом подтверждено.</w:t>
      </w:r>
    </w:p>
    <w:p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В случае невозможности направления документов в электронной форме, нотариус обязан направить их в бумажном виде в не позднее </w:t>
      </w:r>
      <w:r>
        <w:rPr>
          <w:rFonts w:ascii="Segoe UI" w:hAnsi="Segoe UI" w:cs="Segoe UI"/>
          <w:b/>
          <w:sz w:val="24"/>
          <w:szCs w:val="24"/>
        </w:rPr>
        <w:t xml:space="preserve">двух </w:t>
      </w:r>
      <w:r>
        <w:rPr>
          <w:rFonts w:ascii="Segoe UI" w:hAnsi="Segoe UI" w:cs="Segoe UI"/>
          <w:sz w:val="24"/>
          <w:szCs w:val="24"/>
        </w:rPr>
        <w:t xml:space="preserve">рабочих дней со дня удостоверения договора или выдачи свидетельства. В этих случаях срок регистрации прав на недвижимое имущество составит </w:t>
      </w:r>
      <w:r>
        <w:rPr>
          <w:rFonts w:ascii="Segoe UI" w:hAnsi="Segoe UI" w:cs="Segoe UI"/>
          <w:b/>
          <w:sz w:val="24"/>
          <w:szCs w:val="24"/>
        </w:rPr>
        <w:t>три</w:t>
      </w:r>
      <w:r>
        <w:rPr>
          <w:rFonts w:ascii="Segoe UI" w:hAnsi="Segoe UI" w:cs="Segoe UI"/>
          <w:sz w:val="24"/>
          <w:szCs w:val="24"/>
        </w:rPr>
        <w:t xml:space="preserve"> рабочих дня. </w:t>
      </w:r>
    </w:p>
    <w:p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В случае если стороны сделки возражают против обращения нотариуса в Росреестр, они имеют право самостоятельно направить заявление и комплект документов для регистрации прав:</w:t>
      </w:r>
    </w:p>
    <w:p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в форме документов на бумажном носителе – посредством </w:t>
      </w:r>
      <w:r>
        <w:rPr>
          <w:rFonts w:ascii="Segoe UI" w:hAnsi="Segoe UI" w:cs="Segoe UI"/>
          <w:b/>
          <w:sz w:val="24"/>
          <w:szCs w:val="24"/>
        </w:rPr>
        <w:t>личного</w:t>
      </w:r>
      <w:r>
        <w:rPr>
          <w:rFonts w:ascii="Segoe UI" w:hAnsi="Segoe UI" w:cs="Segoe UI"/>
          <w:sz w:val="24"/>
          <w:szCs w:val="24"/>
        </w:rPr>
        <w:t xml:space="preserve"> обращения в многофункциональный центр;</w:t>
      </w:r>
    </w:p>
    <w:p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lang w:eastAsia="ru-RU"/>
        </w:rPr>
      </w:pPr>
      <w:r>
        <w:rPr>
          <w:rFonts w:ascii="Segoe UI" w:hAnsi="Segoe UI" w:cs="Segoe UI"/>
          <w:sz w:val="24"/>
          <w:szCs w:val="24"/>
        </w:rPr>
        <w:t xml:space="preserve">посредством </w:t>
      </w:r>
      <w:r>
        <w:rPr>
          <w:rFonts w:ascii="Segoe UI" w:hAnsi="Segoe UI" w:cs="Segoe UI"/>
          <w:b/>
          <w:sz w:val="24"/>
          <w:szCs w:val="24"/>
        </w:rPr>
        <w:t>почтового отправления</w:t>
      </w:r>
      <w:r>
        <w:rPr>
          <w:rFonts w:ascii="Segoe UI" w:hAnsi="Segoe UI" w:cs="Segoe UI"/>
          <w:sz w:val="24"/>
          <w:szCs w:val="24"/>
        </w:rPr>
        <w:t xml:space="preserve"> с объявленной ценностью при его пересылке, с описью вложения и уведомления о вручении, а также при условии нотариального засвидетельствования подлинности подписи заявителя на заявлении и нотариального удостоверения прилагаемых документов; </w:t>
      </w:r>
    </w:p>
    <w:p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в форме </w:t>
      </w:r>
      <w:r>
        <w:rPr>
          <w:rFonts w:ascii="Segoe UI" w:hAnsi="Segoe UI" w:cs="Segoe UI"/>
          <w:b/>
          <w:sz w:val="24"/>
          <w:szCs w:val="24"/>
        </w:rPr>
        <w:t>электронных документов</w:t>
      </w:r>
      <w:r>
        <w:rPr>
          <w:rFonts w:ascii="Segoe UI" w:hAnsi="Segoe UI" w:cs="Segoe UI"/>
          <w:sz w:val="24"/>
          <w:szCs w:val="24"/>
        </w:rPr>
        <w:t xml:space="preserve"> и (или) электронных образов документов, подписанных усиленной квалифицированной электронной подписью в соответствии с законодательством Российской Федерации.  </w:t>
      </w:r>
    </w:p>
    <w:p>
      <w:pPr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Segoe UI" w:hAnsi="Segoe UI" w:cs="Segoe UI"/>
          <w:sz w:val="18"/>
          <w:szCs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111125</wp:posOffset>
                </wp:positionV>
                <wp:extent cx="6229350" cy="0"/>
                <wp:effectExtent l="0" t="0" r="19050" b="1905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-7.35pt;margin-top:8.75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" strokecolor="#0070c0"/>
            </w:pict>
          </mc:Fallback>
        </mc:AlternateContent>
      </w:r>
    </w:p>
    <w:p>
      <w:pPr>
        <w:spacing w:after="0" w:line="240" w:lineRule="auto"/>
        <w:jc w:val="both"/>
        <w:rPr>
          <w:rFonts w:ascii="Segoe UI" w:hAnsi="Segoe UI" w:cs="Segoe UI"/>
          <w:b/>
          <w:noProof/>
          <w:lang w:eastAsia="sk-SK"/>
        </w:rPr>
      </w:pPr>
      <w:r>
        <w:rPr>
          <w:rFonts w:ascii="Segoe UI" w:hAnsi="Segoe UI" w:cs="Segoe UI"/>
          <w:b/>
          <w:noProof/>
          <w:lang w:eastAsia="sk-SK"/>
        </w:rPr>
        <w:t>Контакты для СМИ:</w:t>
      </w:r>
    </w:p>
    <w:p>
      <w:pPr>
        <w:spacing w:after="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Ольга Никитина, помощник руководителя Управления Росреестра</w:t>
      </w:r>
    </w:p>
    <w:p>
      <w:pPr>
        <w:spacing w:after="0" w:line="240" w:lineRule="auto"/>
        <w:rPr>
          <w:rFonts w:ascii="Segoe UI" w:eastAsia="Arial Unicode MS" w:hAnsi="Segoe UI" w:cs="Segoe UI"/>
          <w:b/>
          <w:noProof/>
          <w:kern w:val="2"/>
          <w:sz w:val="20"/>
          <w:szCs w:val="20"/>
          <w:lang w:eastAsia="sk-SK" w:bidi="hi-IN"/>
        </w:rPr>
      </w:pPr>
      <w:r>
        <w:rPr>
          <w:rFonts w:ascii="Segoe UI" w:hAnsi="Segoe UI" w:cs="Segoe UI"/>
        </w:rPr>
        <w:t xml:space="preserve">(846) 33-22-555, 8 927 690 73 51, </w:t>
      </w:r>
      <w:hyperlink r:id="rId6" w:history="1">
        <w:r>
          <w:rPr>
            <w:rStyle w:val="a3"/>
            <w:rFonts w:ascii="Segoe UI" w:hAnsi="Segoe UI" w:cs="Segoe UI"/>
            <w:shd w:val="clear" w:color="auto" w:fill="FFFFFF"/>
            <w:lang w:val="en-US"/>
          </w:rPr>
          <w:t>pr</w:t>
        </w:r>
        <w:r>
          <w:rPr>
            <w:rStyle w:val="a3"/>
            <w:rFonts w:ascii="Segoe UI" w:hAnsi="Segoe UI" w:cs="Segoe UI"/>
            <w:shd w:val="clear" w:color="auto" w:fill="FFFFFF"/>
          </w:rPr>
          <w:t>.</w:t>
        </w:r>
        <w:r>
          <w:rPr>
            <w:rStyle w:val="a3"/>
            <w:rFonts w:ascii="Segoe UI" w:hAnsi="Segoe UI" w:cs="Segoe UI"/>
            <w:shd w:val="clear" w:color="auto" w:fill="FFFFFF"/>
            <w:lang w:val="en-US"/>
          </w:rPr>
          <w:t>samara</w:t>
        </w:r>
        <w:r>
          <w:rPr>
            <w:rStyle w:val="a3"/>
            <w:rFonts w:ascii="Segoe UI" w:hAnsi="Segoe UI" w:cs="Segoe UI"/>
            <w:shd w:val="clear" w:color="auto" w:fill="FFFFFF"/>
          </w:rPr>
          <w:t>@</w:t>
        </w:r>
        <w:r>
          <w:rPr>
            <w:rStyle w:val="a3"/>
            <w:rFonts w:ascii="Segoe UI" w:hAnsi="Segoe UI" w:cs="Segoe UI"/>
            <w:shd w:val="clear" w:color="auto" w:fill="FFFFFF"/>
            <w:lang w:val="en-US"/>
          </w:rPr>
          <w:t>mail</w:t>
        </w:r>
        <w:r>
          <w:rPr>
            <w:rStyle w:val="a3"/>
            <w:rFonts w:ascii="Segoe UI" w:hAnsi="Segoe UI" w:cs="Segoe UI"/>
            <w:shd w:val="clear" w:color="auto" w:fill="FFFFFF"/>
          </w:rPr>
          <w:t>.</w:t>
        </w:r>
        <w:proofErr w:type="spellStart"/>
        <w:r>
          <w:rPr>
            <w:rStyle w:val="a3"/>
            <w:rFonts w:ascii="Segoe UI" w:hAnsi="Segoe UI" w:cs="Segoe UI"/>
            <w:shd w:val="clear" w:color="auto" w:fill="FFFFFF"/>
            <w:lang w:val="en-US"/>
          </w:rPr>
          <w:t>ru</w:t>
        </w:r>
        <w:proofErr w:type="spellEnd"/>
      </w:hyperlink>
      <w:r>
        <w:rPr>
          <w:noProof/>
          <w:lang w:eastAsia="ru-RU"/>
        </w:rPr>
        <mc:AlternateContent>
          <mc:Choice Requires="wps">
            <w:drawing>
              <wp:anchor distT="4294967289" distB="4294967289" distL="114300" distR="114300" simplePos="0" relativeHeight="251660288" behindDoc="0" locked="0" layoutInCell="1" allowOverlap="1">
                <wp:simplePos x="0" y="0"/>
                <wp:positionH relativeFrom="column">
                  <wp:posOffset>734695</wp:posOffset>
                </wp:positionH>
                <wp:positionV relativeFrom="paragraph">
                  <wp:posOffset>8547100</wp:posOffset>
                </wp:positionV>
                <wp:extent cx="6000750" cy="0"/>
                <wp:effectExtent l="0" t="0" r="19050" b="190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075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57.85pt;margin-top:673pt;width:472.5pt;height:0;z-index:251660288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" strokecolor="#0070c0" strokeweight="1.25pt"/>
            </w:pict>
          </mc:Fallback>
        </mc:AlternateContent>
      </w:r>
    </w:p>
    <w:p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34E7F"/>
    <w:multiLevelType w:val="hybridMultilevel"/>
    <w:tmpl w:val="45763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A1A5F"/>
    <w:multiLevelType w:val="hybridMultilevel"/>
    <w:tmpl w:val="DE088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10672"/>
    <w:multiLevelType w:val="hybridMultilevel"/>
    <w:tmpl w:val="83362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395CAF"/>
    <w:multiLevelType w:val="hybridMultilevel"/>
    <w:tmpl w:val="BE986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CB0803-79F9-468B-AC5F-AC6966BE4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2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.samara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588</Words>
  <Characters>3358</Characters>
  <Application>Microsoft Office Word</Application>
  <DocSecurity>0</DocSecurity>
  <Lines>27</Lines>
  <Paragraphs>7</Paragraphs>
  <ScaleCrop>false</ScaleCrop>
  <Company/>
  <LinksUpToDate>false</LinksUpToDate>
  <CharactersWithSpaces>3939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 Ольга Александровна</dc:creator>
  <cp:keywords/>
  <dc:description/>
  <cp:lastModifiedBy>Курова Лилия Юрьевна</cp:lastModifiedBy>
  <cp:revision>42</cp:revision>
  <dcterms:created xsi:type="dcterms:W3CDTF">2019-10-07T06:02:00Z</dcterms:created>
  <dcterms:modified xsi:type="dcterms:W3CDTF">2019-10-07T13:43:00Z</dcterms:modified>
</cp:coreProperties>
</file>